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center"/>
        <w:rPr/>
      </w:pPr>
      <w:r>
        <w:rPr>
          <w:rFonts w:eastAsia="Arial Unicode MS" w:cs="Arial Unicode MS"/>
          <w:sz w:val="24"/>
          <w:szCs w:val="24"/>
          <w:lang w:eastAsia="pl-PL"/>
        </w:rPr>
        <w:t>(Projekt)</w:t>
      </w:r>
    </w:p>
    <w:p>
      <w:pPr>
        <w:pStyle w:val="Normal"/>
        <w:spacing w:lineRule="auto" w:line="240" w:before="0" w:after="0"/>
        <w:jc w:val="center"/>
        <w:textAlignment w:val="center"/>
        <w:rPr>
          <w:i/>
          <w:i/>
          <w:iCs/>
        </w:rPr>
      </w:pPr>
      <w:r>
        <w:rPr>
          <w:rFonts w:eastAsia="Arial Unicode MS" w:cs="Arial Unicode MS"/>
          <w:i/>
          <w:iCs/>
          <w:sz w:val="24"/>
          <w:szCs w:val="24"/>
          <w:lang w:eastAsia="pl-PL"/>
        </w:rPr>
        <w:t>dotyczy zadania – nr 2</w:t>
      </w:r>
    </w:p>
    <w:p>
      <w:pPr>
        <w:pStyle w:val="Normal"/>
        <w:spacing w:lineRule="auto" w:line="240" w:before="0" w:after="0"/>
        <w:jc w:val="right"/>
        <w:textAlignment w:val="center"/>
        <w:rPr>
          <w:rFonts w:ascii="Calibri" w:hAnsi="Calibri" w:eastAsia="Arial Unicode MS" w:cs="Arial Unicode MS"/>
          <w:sz w:val="24"/>
          <w:szCs w:val="24"/>
          <w:lang w:eastAsia="pl-PL"/>
        </w:rPr>
      </w:pPr>
      <w:r>
        <w:rPr>
          <w:rFonts w:eastAsia="Arial Unicode MS" w:cs="Arial Unicode MS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Times New Roman" w:cs="Tahoma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UMOWA Nr ……………</w:t>
      </w:r>
      <w:r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zawarta w dniu ................................... 2019r. w Miłkowicach pomiędzy: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Gminą Miłkowice </w:t>
      </w:r>
      <w:r>
        <w:rPr>
          <w:rFonts w:eastAsia="Times New Roman" w:cs="Tahoma"/>
          <w:bCs/>
          <w:sz w:val="24"/>
          <w:szCs w:val="24"/>
          <w:lang w:eastAsia="pl-PL"/>
        </w:rPr>
        <w:t>z siedzibą w Miłkowicach, przy ul. Wojska Polskiego 71</w:t>
      </w:r>
      <w:r>
        <w:rPr>
          <w:rFonts w:eastAsia="Times New Roman" w:cs="Tahoma"/>
          <w:sz w:val="24"/>
          <w:szCs w:val="24"/>
          <w:lang w:eastAsia="pl-PL"/>
        </w:rPr>
        <w:t xml:space="preserve">, reprezentowaną przez: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Wójta Gminy Miłkowice – pana Dawida Stachurę,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Zamawiającym,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="0" w:after="120"/>
        <w:ind w:left="705" w:hanging="705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  <w:tab/>
        <w:t>Zamawiający zleca a Wykonawca przyjmuje do wykonania sporządzenie miejscowego planu zagospodarowania przestrzennego terenu położonego w obrębie wsi Jezierzany – gmina Miłkowice (MPZP Jezierzany II)</w:t>
      </w:r>
      <w:r>
        <w:rPr>
          <w:rFonts w:eastAsia="Times New Roman" w:cs="Tahoma"/>
          <w:i/>
          <w:sz w:val="24"/>
          <w:szCs w:val="24"/>
          <w:lang w:eastAsia="pl-PL"/>
        </w:rPr>
        <w:t xml:space="preserve"> - </w:t>
      </w:r>
      <w:r>
        <w:rPr>
          <w:rFonts w:eastAsia="Times New Roman" w:cs="Tahoma"/>
          <w:iCs/>
          <w:sz w:val="24"/>
          <w:szCs w:val="24"/>
          <w:lang w:eastAsia="pl-PL"/>
        </w:rPr>
        <w:t>zwanego</w:t>
      </w:r>
      <w:r>
        <w:rPr>
          <w:rFonts w:eastAsia="Times New Roman" w:cs="Tahoma"/>
          <w:sz w:val="24"/>
          <w:szCs w:val="24"/>
          <w:lang w:eastAsia="pl-PL"/>
        </w:rPr>
        <w:t xml:space="preserve"> dalej planem.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  <w:tab/>
        <w:t xml:space="preserve">Zakres i obszar planu określony został uchwałą Nr LI/398/2018 Rady Gminy </w:t>
        <w:tab/>
        <w:t>Miłkowice z dnia 14 września 2018r.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3.</w:t>
        <w:tab/>
        <w:t>Przedmiot umowy, o którym mowa w ust. 1 wykonany zostanie zgodnie z</w:t>
        <w:tab/>
        <w:t>obowiązującymi przepisami, w szczególności:</w:t>
      </w:r>
    </w:p>
    <w:p>
      <w:pPr>
        <w:pStyle w:val="Normal"/>
        <w:numPr>
          <w:ilvl w:val="1"/>
          <w:numId w:val="1"/>
        </w:numPr>
        <w:spacing w:lineRule="auto" w:line="240" w:before="0" w:after="12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planowaniu i zagospodarowaniu przestrzennym</w:t>
      </w:r>
      <w:r>
        <w:rPr>
          <w:rFonts w:eastAsia="Times New Roman" w:cs="Tahoma"/>
          <w:sz w:val="24"/>
          <w:szCs w:val="24"/>
          <w:lang w:eastAsia="pl-PL"/>
        </w:rPr>
        <w:t>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i/>
          <w:iCs/>
          <w:sz w:val="24"/>
          <w:szCs w:val="24"/>
          <w:lang w:eastAsia="pl-PL"/>
        </w:rPr>
        <w:t>ustawą o udostępnianiu informacji o środowisku i jego ochronie, udziale społeczeństwa o ochronie środowiska oraz o ocenach oddziaływania na środowisko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4.</w:t>
        <w:tab/>
        <w:t xml:space="preserve">Wszystkie uzgodnienia związane z realizacją przedmiotu umowy muszą mieć formę </w:t>
        <w:tab/>
        <w:t xml:space="preserve">pisemną (dopuszcza się formę elektroniczną) zaakceptowaną przez obie strony </w:t>
        <w:tab/>
        <w:t>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§2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Do kierowania pracami objętymi umową ze strony Wykonawcy wyznacza się  </w:t>
        <w:tab/>
        <w:t>....................................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 koordynowania realizacji zobowiązań umownych ze strony Zamawiającego </w:t>
        <w:tab/>
        <w:t>wyznacza się inspektora ds. gospodarki przestrzennej w UG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§3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udostępnieni Wykonawcy niezbędne mapy, o których mowa w art. 16. </w:t>
        <w:tab/>
        <w:t xml:space="preserve">ust. 1 ustawy z dnia 27 marca 2003 roku </w:t>
      </w:r>
      <w:r>
        <w:rPr>
          <w:rFonts w:eastAsia="Times New Roman" w:cs="Tahoma"/>
          <w:i/>
          <w:iCs/>
          <w:sz w:val="24"/>
          <w:szCs w:val="24"/>
          <w:lang w:eastAsia="pl-PL"/>
        </w:rPr>
        <w:t xml:space="preserve">o planowaniu i zagospodarowaniu </w:t>
        <w:tab/>
        <w:t>przestrzennym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obowiązany jest do udostępnienia na wniosek Wykonawcy, w terminie </w:t>
        <w:tab/>
        <w:t>14 dni od daty otrzymania wniosku: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wydane decyzje o warunkach zabudowy oraz o lokalizacji inwestycji celu </w:t>
        <w:tab/>
        <w:t>publicznego,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obowiązujące i archiwalne miejscowe plany zagospodarowania przestrzennego,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 xml:space="preserve">kopie zgód na wyłączenie z użytkowania rolniczego i leśnego dla obszaru </w:t>
        <w:tab/>
        <w:t>objętego zmianą planu,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opracowanie fizjograficzne dla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obowiązujące studium uwarunkowań i kierunków zagospodarowania </w:t>
        <w:tab/>
        <w:t>przestrzennego gminy Miłkowice,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wytyczne w zakresie przeznaczenia i zagospodarowania terenów.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§4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w ramach umowy obowiązany jest do: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przystąpieniu do sporządzania zmiany </w:t>
        <w:tab/>
        <w:t>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zawiadomień o przystąpieniu do sporządzenia zmiany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wniosków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opracowania inwentaryzacji urbanistycznej,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>do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uzyskania akceptacji przez Zamawiającego,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korespondencji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projektu zmiany planu do opiniowania i uzgadniania,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przygotowania wykazów opinii i uzgodnień,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projektu planu wraz z wymaganymi dodatkowymi opracowaniami </w:t>
        <w:tab/>
        <w:t xml:space="preserve">do publicznego wglądu, z uwzględnieniem opinii i uzgodnień oraz ewentualnej </w:t>
        <w:tab/>
        <w:t xml:space="preserve">decyzji w sprawie zgody na zmianę przeznaczenia gruntów rolnych i leśnych na </w:t>
        <w:tab/>
        <w:t>cele nierolnicze i nieleśne,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przygotowania obwieszczeń i ogłoszeń o wyłożeniu do publicznego wglądu </w:t>
        <w:tab/>
        <w:t>projektu planu,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przeprowadzenia analizy złożonych uwag i przygotowania propozycji ich </w:t>
        <w:tab/>
        <w:t>rozpatrzenia,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opracowania i przekazania Zamawiającemu projektu planu wraz z wymaganymi </w:t>
        <w:tab/>
        <w:t xml:space="preserve">załącznikami i uzasadnieniem oraz dokumentacją prac planistycznych celem </w:t>
        <w:tab/>
        <w:t>przedłożenia Radzie Gminy do uchwalenia.</w:t>
      </w:r>
    </w:p>
    <w:p>
      <w:pPr>
        <w:pStyle w:val="Normal"/>
        <w:numPr>
          <w:ilvl w:val="1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Wykonawca zobowiązany jest do prezentacji projektu planu na wszystkich </w:t>
        <w:tab/>
        <w:t xml:space="preserve">etapach sporządzania przedmiotowej zmiany planu, na wniosek </w:t>
        <w:tab/>
        <w:t>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Publikacja wszelkich ogłoszeń prasowych związanych z przeprowadzeniem procedury </w:t>
        <w:tab/>
        <w:t>planistycznej następuje na koszt i za staraniem Zamawiającego.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Rozesłanie korespondencji związanej z przeprowadzeniem procedury planistycznej </w:t>
        <w:tab/>
        <w:t>następuje na koszt i za staraniem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Termin wykonania przedmiotu umowy określa się na dzień </w:t>
      </w:r>
      <w:r>
        <w:rPr>
          <w:rFonts w:eastAsia="Times New Roman" w:cs="Tahoma"/>
          <w:b/>
          <w:sz w:val="24"/>
          <w:szCs w:val="24"/>
          <w:lang w:eastAsia="pl-PL"/>
        </w:rPr>
        <w:t>31 grudzień 2019</w:t>
      </w:r>
      <w:r>
        <w:rPr>
          <w:rFonts w:eastAsia="Times New Roman" w:cs="Tahoma"/>
          <w:sz w:val="24"/>
          <w:szCs w:val="24"/>
          <w:lang w:eastAsia="pl-PL"/>
        </w:rPr>
        <w:t>r.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zobowiązuje się wykonać zlecone prace zgodnie z harmonogramem prac stanowiącym załącznik nr 1 do niniejszej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§7</w:t>
      </w:r>
    </w:p>
    <w:p>
      <w:pPr>
        <w:pStyle w:val="Normal"/>
        <w:spacing w:lineRule="auto" w:line="240" w:before="0" w:after="12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  <w:tab/>
        <w:t xml:space="preserve">Zgodnie ze złożoną ofertą Strony ustalają wynagrodzenie ryczałtowe Wykonawcy za </w:t>
        <w:tab/>
        <w:t xml:space="preserve">wykonanie przedmiotu umowy na kwotę: </w:t>
      </w:r>
    </w:p>
    <w:tbl>
      <w:tblPr>
        <w:tblW w:w="8835" w:type="dxa"/>
        <w:jc w:val="left"/>
        <w:tblInd w:w="33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18"/>
        <w:gridCol w:w="1744"/>
        <w:gridCol w:w="1332"/>
        <w:gridCol w:w="4440"/>
      </w:tblGrid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VAT 23%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  <w:tr>
        <w:trPr/>
        <w:tc>
          <w:tcPr>
            <w:tcW w:w="13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1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firstLine="87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44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133" w:hanging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..................................................</w:t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</w:t>
        <w:tab/>
        <w:t xml:space="preserve">Rozliczenia należności za wykonany przedmiot umowy będą dokonane fakturami </w:t>
        <w:tab/>
        <w:t xml:space="preserve">częściowymi, zgodnie z „Harmonogramem rzeczowo-finansowym” stanowiącym </w:t>
        <w:tab/>
        <w:t>załącznik nr 1 do umowy.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>§8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Zamawiający dokona odbioru poszczególnych etapów przedmiotu umowy w siedzibie </w:t>
        <w:tab/>
        <w:t>Zamawiającego.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Dokumentami potwierdzającymi przyjęcie przez Zamawiającego wykonania </w:t>
        <w:tab/>
        <w:t xml:space="preserve">poszczególnych etapów przedmiotu umowy będą protokoły zdawczo-odbiorcze </w:t>
        <w:tab/>
        <w:t>podpisane przez obie strony.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Protokoły zdawczo-odbiorcze wykonania poszczególnych etapów przedmiotu umowy </w:t>
        <w:tab/>
        <w:t>stanowią podstawę do wystawienia faktur.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Termin płatności faktur ustala się na 21 dni, licząc od dnia przekazania faktury </w:t>
        <w:tab/>
        <w:t xml:space="preserve">Zamawiającemu, przy czym za datę zapłaty uważa się datę obciążenia rachunku </w:t>
        <w:tab/>
        <w:t>bankowego Wykonawcy.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Wynagrodzenie przysługujące Wykonawcy płatne będzie przelewem na konto </w:t>
        <w:tab/>
        <w:t>wskazane w fakturze.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§9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może podzielić część prac związanych z wykonaniem przedmiotu umowy innej jednostce, za której działanie ponosi odpowiedzialność jak za działanie własne.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 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§10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ponosi odpowiedzialność za przeprowadzenie procedury sporządzania miejscowego planu zagospodarowania przestrzennego, o której mowa w §1 umowy.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przypadku stwierdzenia przez Zamawiającego nienależytego wykonania przedmiotu umowy Wykonawca jest zobowiązany do nieodpłatnego ich usunięcia w terminie do 30 dni od daty powiadomienia przez Zamawiającego.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udziela rękojmi na przedmiot umowy zgodnie z przepisami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§11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Skład kompletnego opracowania, stanowiącego przedmiot umowy, które Wykonawca </w:t>
        <w:tab/>
        <w:t>dostarczy Zamawiającemu, w terminie wskazanym w §5, stanowić będzie:</w:t>
      </w:r>
    </w:p>
    <w:p>
      <w:pPr>
        <w:pStyle w:val="Normal"/>
        <w:spacing w:lineRule="auto" w:line="240" w:before="0" w:after="0"/>
        <w:ind w:left="-113" w:hanging="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sz w:val="24"/>
          <w:szCs w:val="24"/>
          <w:lang w:eastAsia="pl-PL"/>
        </w:rPr>
        <w:tab/>
        <w:t xml:space="preserve">     1). oprawiona dokumentacja prac planistycznych, sporządzona zgodnie z §12 </w:t>
        <w:tab/>
        <w:t xml:space="preserve"> </w:t>
        <w:tab/>
        <w:t xml:space="preserve"> </w:t>
        <w:tab/>
        <w:t xml:space="preserve">rozporządzenia Ministra Infrastruktury z dnia 26 sierpnia 2003 r. w sprawie </w:t>
        <w:tab/>
        <w:tab/>
        <w:tab/>
        <w:t xml:space="preserve">wymaganego zakresu projektu miejscowego planu zagospodarowania </w:t>
        <w:tab/>
        <w:tab/>
        <w:tab/>
        <w:tab/>
        <w:t>przestrzennego,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>2).</w:t>
        <w:tab/>
        <w:t>oprawiona kopia dokumentacji prac planistycznych, o których mowa w pkt 1,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 xml:space="preserve">3).  oprawiony egzemplarz uchwały Rady Gminy wraz z czarno-białymi rysunkami planu w   </w:t>
        <w:tab/>
        <w:t>skali 1:1000,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 xml:space="preserve">4). 2 egzemplarze kolorowego rysunku planu w skali 1:1000 oklejonego tworzywem </w:t>
        <w:tab/>
        <w:t>sztucznym,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sz w:val="24"/>
          <w:szCs w:val="24"/>
          <w:lang w:eastAsia="pl-PL"/>
        </w:rPr>
        <w:t xml:space="preserve">5). CD z zapisem cyfrowym tekstu i rysunku planu (formaty dwg oraz jpg), a także </w:t>
        <w:tab/>
        <w:t>wymaganych opracowań do projektu planu miejscowego.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12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Strony zastrzegają sobie prawo dochodzenia kar umownych za niewykonanie lub za nienależyte wykonanie przedmiotu umowy.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Zamawiający zapłaci Wykonawcy karę umowną za odstąpienie przez Zamawiającego od umowy wskutek okoliczności, za które Wykonawca nie odpowiada - w wysokości 5% wynagrodzenia umownego brutto określonego w § 7 ust. 1.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340" w:hanging="34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Wykonawca zapłaci Zamawiającemu karę umowną: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1)  za zwłokę w wykonaniu prac projektowych w wysokości 0,5% wynagrodzenia </w:t>
        <w:tab/>
        <w:t xml:space="preserve"> </w:t>
        <w:tab/>
        <w:t xml:space="preserve"> umownego brutto określonego w §7 ust. 1, licząc za każdy dzień zwłoki od </w:t>
        <w:tab/>
        <w:t xml:space="preserve"> </w:t>
        <w:tab/>
        <w:t>umówionego terminu określonego w § 5,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2) za zwłokę w usunięciu wad - w wysokości 0,5% wynagrodzenia umownego brutto </w:t>
        <w:tab/>
        <w:t xml:space="preserve">określonego w § 7 ust. 1 za każdy dzień zwłoki licząc od dnia wyznaczonego przez </w:t>
        <w:tab/>
        <w:t>Zamawiającego na usunięcie wad,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>za odstąpienie od umowy, przez którąkolwiek ze stron, z przyczyn za które odpowiada Wykonawca, w wysokości 10% wynagrodzenia umownego brutto określonego w</w:t>
      </w:r>
      <w:r>
        <w:rPr>
          <w:rFonts w:eastAsia="Times New Roman" w:cs="Tahoma"/>
          <w:color w:val="ED1C24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color w:val="000000"/>
          <w:sz w:val="24"/>
          <w:szCs w:val="24"/>
          <w:lang w:eastAsia="pl-PL"/>
        </w:rPr>
        <w:t>§ 7 ust. 1.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13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Plan miejscowy zostanie wykonany zgodnie z obowiązującymi przepisami.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40" w:hanging="34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Jeżeli w trakcie obowiązywania niniejszej umowy nastąpi zmiana ustaw dotyczących </w:t>
        <w:tab/>
        <w:t xml:space="preserve">planowania przestrzennego, mająca wpływ na wzajemne prawa i obowiązki stron </w:t>
        <w:tab/>
        <w:t xml:space="preserve">umowy, strony umowy zmienią odpowiednio aneksem zapis umowy, przy czym </w:t>
        <w:tab/>
        <w:t xml:space="preserve">Zamawiający zapłaci Wykonawcy wynagrodzenie za dotychczas wykonaną część </w:t>
        <w:tab/>
        <w:t>umowy.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14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1.</w:t>
        <w:tab/>
        <w:t xml:space="preserve">Wszelkie zmiany i uzupełnienia niniejszej umowy mogą być dokonywane jedynie w </w:t>
        <w:tab/>
        <w:t xml:space="preserve">formie pisemnej w postaci aneksu do umowy podpisanego przez obydwie strony, </w:t>
        <w:tab/>
        <w:t>pod rygorem nieważności.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2.</w:t>
        <w:tab/>
        <w:t xml:space="preserve">Dopuszcza się możliwość dokonania zmian postanowień zawartej umowy w </w:t>
        <w:tab/>
        <w:t xml:space="preserve">stosunku do treści oferty, na podstawie, której dokonano wyboru Wykonawcy, w </w:t>
        <w:tab/>
        <w:t xml:space="preserve">przypadku wystąpienia, co najmniej jednej z okoliczności wymienionych poniżej, w </w:t>
        <w:tab/>
        <w:t>zakresie: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2.1.</w:t>
        <w:tab/>
        <w:t xml:space="preserve">Zmiany terminu realizacji zadania: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a)</w:t>
        <w:tab/>
        <w:tab/>
        <w:t xml:space="preserve">Zmiany przepisów powodujących konieczność innych rozwiązań niż zakładano w opisie </w:t>
        <w:tab/>
        <w:tab/>
        <w:tab/>
        <w:t>przedmiotu zamówienia.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b)</w:t>
        <w:tab/>
        <w:tab/>
        <w:t xml:space="preserve">Zmiany przepisów powodujących konieczność uzyskania dokumentów, które te </w:t>
        <w:tab/>
        <w:tab/>
        <w:tab/>
        <w:t>przepisy narzucają.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08" w:hanging="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c)</w:t>
        <w:tab/>
        <w:tab/>
        <w:t xml:space="preserve">Gdy organy i instytucje uzgadniające nie wydały uzgodnień w ustawowym terminie. 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d) </w:t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Termin realizacji </w:t>
      </w:r>
      <w:r>
        <w:rPr>
          <w:rFonts w:eastAsia="Times New Roman" w:cs="Times New Roman"/>
          <w:b/>
          <w:sz w:val="24"/>
          <w:szCs w:val="24"/>
          <w:lang w:eastAsia="pl-PL"/>
        </w:rPr>
        <w:t>Etapu 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przesunięciu w przypadku opóźnienia wynikającego z            </w:t>
        <w:tab/>
        <w:t>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III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 oczekiwania na ustalenie </w:t>
        <w:tab/>
        <w:t>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f)</w:t>
        <w:tab/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IV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1) konieczności powtórzenia procedury uzgadniania w wyniku wprowadzonych zmian na </w:t>
        <w:tab/>
        <w:t>podstawie otrzymanych opinii i uzgodnień,</w:t>
      </w:r>
    </w:p>
    <w:p>
      <w:pPr>
        <w:pStyle w:val="Normal"/>
        <w:widowControl w:val="false"/>
        <w:spacing w:lineRule="auto" w:line="240" w:before="0" w:after="0"/>
        <w:ind w:left="708" w:right="-565" w:firstLine="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oczekiwania na zgodę na zmianę przeznaczenia gruntów rolnych i leśnych na cele nierolnicze i nieleśne,</w:t>
      </w:r>
    </w:p>
    <w:p>
      <w:pPr>
        <w:pStyle w:val="Normal"/>
        <w:widowControl w:val="false"/>
        <w:spacing w:lineRule="auto" w:line="240" w:before="0" w:after="0"/>
        <w:ind w:left="708" w:right="-565" w:firstLine="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konieczności powtórzenia procedury w niezbędnym zakresie w wyniku wprowadzonych zmian wynikających z uwzględnienia złożonych uwag do projektu planu;</w:t>
      </w:r>
    </w:p>
    <w:p>
      <w:pPr>
        <w:pStyle w:val="Normal"/>
        <w:widowControl w:val="false"/>
        <w:spacing w:lineRule="auto" w:line="240" w:before="0" w:after="0"/>
        <w:ind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g)</w:t>
        <w:tab/>
        <w:t xml:space="preserve">Termin realizacji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Etapu VI</w:t>
      </w:r>
      <w:r>
        <w:rPr>
          <w:rFonts w:eastAsia="Times New Roman" w:cs="Times New Roman"/>
          <w:sz w:val="24"/>
          <w:szCs w:val="24"/>
          <w:lang w:eastAsia="pl-PL"/>
        </w:rPr>
        <w:t xml:space="preserve"> może ulec przedłużeniu w przypadku: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1) oczekiwania na sesję Rady Gminy Miłkowice.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2.2.</w:t>
        <w:tab/>
        <w:t>Zmian osobowych: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realizujących zamówienie  pod warunkiem, że osoby te będą spełniały wymagania określone w SIWZ;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osób reprezentujących w przypadku zmian organizacyjnych;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100" w:after="10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zmiana podwykonawcy, przy pomocy którego Wykonawca wykonuje przedmiot umowy; zmiana jest możliwa tylko w przypadku, gdy nowy podwykonawca posiada tożsamą wiedzę i doświadczenie zawodowe, potencjał techniczny oraz osoby zdolne do wykonania zamówienia a także jest w sytuacji ekonomiczniej i finansowej, </w:t>
        <w:br/>
        <w:t>jak dotychczasowy podwykonawca,</w:t>
      </w:r>
    </w:p>
    <w:p>
      <w:pPr>
        <w:pStyle w:val="Normal"/>
        <w:numPr>
          <w:ilvl w:val="0"/>
          <w:numId w:val="19"/>
        </w:numPr>
        <w:tabs>
          <w:tab w:val="left" w:pos="284" w:leader="none"/>
        </w:tabs>
        <w:spacing w:lineRule="auto" w:line="240" w:before="0" w:after="0"/>
        <w:ind w:left="720" w:right="-108" w:hanging="360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rozszerzenie zakresu podwykonawstwa w porównaniu do wskazanego w ofercie Wykonawcy, o ile posłużenie się podwykonawcą doprowadzi do skrócenia terminu wykonania przedmiotu umowy, zmniejszenia należnego Wykonawcy wynagrodzenia  lub zastosowania przy wykonaniu przedmiotu umowy bardziej zaawansowanych rozwiązań w porównaniu do wskazanych w SIWZ. Zmiana ta nie może dotyczyć czynności, które zgodnie z SIWZ muszą być wykonane przez Wykonawcę osobiście.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textAlignment w:val="baseline"/>
        <w:rPr>
          <w:rFonts w:ascii="Calibri" w:hAnsi="Calibri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2.3.</w:t>
        <w:tab/>
        <w:t xml:space="preserve">Pozostałych zmian: 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każdym przypadku, gdy zmiana jest korzystna dla Zamawiającego (np.: powoduje skrócenie terminu realizacji umowy, zmniejszenie wartości zamówienia);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>w przypadku urzędowej zmiany wysokości podatku VAT, dopuszcza się możliwość sporządzenia aneksu do umowy uwzględniającego zmianę wartości umowy z tego tytułu;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>
      <w:pPr>
        <w:pStyle w:val="Normal"/>
        <w:numPr>
          <w:ilvl w:val="0"/>
          <w:numId w:val="20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rFonts w:ascii="Bookman Old Style" w:hAnsi="Bookman Old Style" w:eastAsia="Times New Roman" w:cs="Tahoma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zmiana nazwy zadania</w:t>
      </w:r>
      <w:r>
        <w:rPr>
          <w:rFonts w:eastAsia="Times New Roman" w:cs="Tahoma" w:ascii="Bookman Old Style" w:hAnsi="Bookman Old Style"/>
          <w:lang w:eastAsia="pl-PL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15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 sprawach nieuregulowanych niniejszą umową zastosowanie mają przepisy Kodeksu Cywilnego.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 16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Zmiany niniejszej umowy wymagają formy pisemnej pod rygorem nieważności.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§17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Wszelkie sprawy mogące wyniknąć na tle niniejszej umowy rozstrzygnięte zostaną przez Sąd właściwy dla Zamawiającego.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§18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/>
      </w:pPr>
      <w:r>
        <w:rPr>
          <w:rFonts w:eastAsia="Times New Roman" w:cs="Tahoma"/>
          <w:sz w:val="24"/>
          <w:szCs w:val="24"/>
          <w:lang w:eastAsia="pl-PL"/>
        </w:rPr>
        <w:t xml:space="preserve">Niniejsza umowa została sporządzona w </w:t>
      </w:r>
      <w:r>
        <w:rPr>
          <w:rFonts w:eastAsia="Times New Roman" w:cs="Tahoma"/>
          <w:sz w:val="24"/>
          <w:szCs w:val="24"/>
          <w:lang w:eastAsia="pl-PL"/>
        </w:rPr>
        <w:t>3</w:t>
      </w:r>
      <w:r>
        <w:rPr>
          <w:rFonts w:eastAsia="Times New Roman" w:cs="Tahoma"/>
          <w:sz w:val="24"/>
          <w:szCs w:val="24"/>
          <w:lang w:eastAsia="pl-PL"/>
        </w:rPr>
        <w:t xml:space="preserve"> jednobrzmiących egzemplarzach, </w:t>
      </w:r>
      <w:r>
        <w:rPr>
          <w:rFonts w:eastAsia="Times New Roman" w:cs="Tahoma"/>
          <w:sz w:val="24"/>
          <w:szCs w:val="24"/>
          <w:lang w:eastAsia="pl-PL"/>
        </w:rPr>
        <w:t>dwa dla Zamawiającego oraz jeden dla Wykonawcy.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eastAsia="Times New Roman" w:cs="Tahoma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WYKONAWCA</w:t>
        <w:tab/>
        <w:tab/>
        <w:tab/>
        <w:tab/>
        <w:t xml:space="preserve">                                          </w:t>
        <w:tab/>
        <w:t>ZAMAWIAJĄCY</w:t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0" w:after="12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4"/>
          <w:szCs w:val="24"/>
          <w:lang w:eastAsia="pl-PL"/>
        </w:rPr>
        <w:t>Załącznik nr 1 do umowy nr _________</w:t>
      </w: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>________________ z dnia _________________________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ndara" w:hAnsi="Candara"/>
          <w:sz w:val="24"/>
          <w:szCs w:val="24"/>
          <w:lang w:eastAsia="pl-PL"/>
        </w:rPr>
        <w:t xml:space="preserve">Nazwa zadania: </w:t>
      </w:r>
      <w:r>
        <w:rPr>
          <w:rFonts w:eastAsia="Times New Roman" w:cs="Times New Roman" w:ascii="Candara" w:hAnsi="Candara"/>
          <w:i/>
          <w:sz w:val="24"/>
          <w:szCs w:val="24"/>
          <w:lang w:eastAsia="pl-PL"/>
        </w:rPr>
        <w:t>sporządzenie miejscowego planu zagospodarowania przestrzennego terenu położonego w obrębie wsi Jezierzany – gmina Miłkowice (MPZP Jezierzany II).</w:t>
      </w:r>
    </w:p>
    <w:p>
      <w:pPr>
        <w:pStyle w:val="Normal"/>
        <w:spacing w:lineRule="auto" w:line="240" w:before="0" w:after="0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20" w:leader="none"/>
          <w:tab w:val="left" w:pos="1440" w:leader="none"/>
          <w:tab w:val="left" w:pos="10080" w:leader="none"/>
        </w:tabs>
        <w:spacing w:lineRule="auto" w:line="240" w:before="120" w:after="0"/>
        <w:ind w:right="-145" w:hanging="0"/>
        <w:jc w:val="center"/>
        <w:outlineLvl w:val="1"/>
        <w:rPr>
          <w:rFonts w:ascii="Candara" w:hAnsi="Candara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/>
          <w:bCs/>
          <w:i/>
          <w:sz w:val="20"/>
          <w:szCs w:val="20"/>
          <w:lang w:eastAsia="pl-PL"/>
        </w:rPr>
        <w:t xml:space="preserve">HARMONOGRAM PRAC I ZAKRES OPRACOWANIA </w:t>
      </w:r>
    </w:p>
    <w:tbl>
      <w:tblPr>
        <w:tblW w:w="5000" w:type="pct"/>
        <w:jc w:val="left"/>
        <w:tblInd w:w="-35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97"/>
        <w:gridCol w:w="5133"/>
        <w:gridCol w:w="1241"/>
        <w:gridCol w:w="1300"/>
      </w:tblGrid>
      <w:tr>
        <w:trPr/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ETAP/TERMIN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720" w:leader="none"/>
              </w:tabs>
              <w:spacing w:lineRule="auto" w:line="240" w:before="0" w:after="0"/>
              <w:ind w:left="720" w:hanging="432"/>
              <w:jc w:val="center"/>
              <w:outlineLvl w:val="2"/>
              <w:rPr>
                <w:rFonts w:ascii="Candara" w:hAnsi="Candara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CZAS REALIZACJI ETAPU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000000" w:fill="FFFFFF" w:val="pct10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CENA /Netto/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iCs/>
                <w:sz w:val="16"/>
                <w:szCs w:val="16"/>
                <w:lang w:eastAsia="pl-PL"/>
              </w:rPr>
              <w:t>% wynagrodzenia umownego</w:t>
            </w:r>
          </w:p>
        </w:tc>
      </w:tr>
      <w:tr>
        <w:trPr>
          <w:trHeight w:val="1067" w:hRule="atLeast"/>
          <w:cantSplit w:val="true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 xml:space="preserve">Prace wstępne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 w:val="false"/>
                <w:b w:val="false"/>
                <w:bCs w:val="false"/>
                <w:iCs/>
                <w:smallCap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iCs/>
                <w:smallCaps/>
                <w:sz w:val="20"/>
                <w:szCs w:val="20"/>
                <w:lang w:eastAsia="pl-PL"/>
              </w:rPr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treści ogłoszeń, obwieszczeń i zawiadomień  o przystąpieniu do sporządzenia planu miejscowego (art. 17 pkt. 1 i 2 ustawy o</w:t>
            </w:r>
            <w:r>
              <w:rPr>
                <w:rFonts w:eastAsia="Times New Roman" w:cs="Times New Roman" w:ascii="Candara" w:hAnsi="Candara"/>
                <w:b/>
                <w:sz w:val="16"/>
                <w:szCs w:val="16"/>
                <w:lang w:eastAsia="pl-PL"/>
              </w:rPr>
              <w:t>pizp*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 oraz art. 39. ust. 1 </w:t>
            </w: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ouioś**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 xml:space="preserve">), 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analiza złożonych wniosków do planu wraz przygotowaniem propozycji ich rozpatrzenia zgodnie z art. 17 pkt 4 ustawy opizp oraz art. 42 ouioś,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uzgodnienie zakresu prognozy oddziaływania na środowisko (art. 53 ustawy ouioś),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inwentaryzacji urbanistycznej.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30 kwietnia 2019r.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[ 30% ]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II:</w:t>
            </w:r>
          </w:p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 w:val="false"/>
                <w:bCs w:val="false"/>
                <w:iCs/>
                <w:sz w:val="20"/>
                <w:szCs w:val="20"/>
                <w:lang w:eastAsia="pl-PL"/>
              </w:rPr>
              <w:t>Opracowanie projektu planu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/>
                <w:smallCaps/>
                <w:sz w:val="24"/>
                <w:szCs w:val="24"/>
                <w:lang w:eastAsia="pl-PL"/>
              </w:rPr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i przekazanie projektu planu do akceptacji przez Zamawiającego,</w:t>
            </w:r>
          </w:p>
          <w:p>
            <w:pPr>
              <w:pStyle w:val="Normal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„Prognozy oddziaływania na środowisko” (art. 17 pkt. 4 ustawy opizp),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opracowanie  „Prognozy skutków finansowych uchwalenia planu” (art. 17 pkt. 5 ustawy opizp),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30 czerwca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trHeight w:val="697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20"/>
                <w:szCs w:val="20"/>
                <w:lang w:eastAsia="pl-PL"/>
              </w:rPr>
              <w:t>ETAP III: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Cs/>
                <w:iCs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Opiniowanie i uzgadnianie projektu planu </w:t>
            </w: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zaopiniowania (art. 17 pkt. 6 ustawy opizp oraz art. 54. ust. 1 ustawy ouioś), uczestnictwo w posiedzeniu Gminnej Komisji Urbanistyczno – Architektonicznej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przygotowanie projektu planu do uzgodnień (art. 17 pkt. 6 ustawy opizp),</w:t>
            </w:r>
          </w:p>
          <w:p>
            <w:pPr>
              <w:pStyle w:val="Normal"/>
              <w:numPr>
                <w:ilvl w:val="0"/>
                <w:numId w:val="17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sporządzenie wniosku o zmianę przeznaczenia gruntów rolnych i leśnych na cele nierolnicze i nieleśne (jeżeli taki wniosek jest konieczny),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31 sierpnia 2019r.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/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IV: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Wyłożenie projektu planu do publicznego wglądu </w:t>
            </w: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wprowadzenie ewentualnych zmian wynikających z otrzymanych opinii i uzgodnień (art. 17 pkt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uzyskanie zgody na zmianę przeznaczenia gruntów rolnych i leśnych na cele nierolnicze i nieleśne (o ile jest potrzebna),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przekazanie projektu planu wraz z „Prognozą oddziaływania na środowisko” do wyłożenia do publicznego wglądu; przygotowanie obwieszczeń, ogłoszeń do zamieszczenia w prasie o terminie wyłożenia projektu planu (art. 17 pkt. 9 i 11 ustawy opizp oraz art. 54. ust. 2 i 3 ustawy ouioś),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udział </w:t>
            </w:r>
            <w:r>
              <w:rPr>
                <w:rFonts w:eastAsia="Times New Roman" w:cs="Times New Roman" w:ascii="Candara" w:hAnsi="Candara"/>
                <w:sz w:val="16"/>
                <w:szCs w:val="16"/>
                <w:lang w:eastAsia="pl-PL"/>
              </w:rPr>
              <w:t>projektanta</w:t>
            </w: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 xml:space="preserve"> w dyskusji publicznej nad przyjętymi w projekcie planu rozwiązaniami (art. 17 pkt. 9 ustawy opizp),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propozycji rozpatrzenia uwag wniesionych do projektu planu w trakcie wyłożenia go do publicznego wglądu (art. 17 pkt. 12 ustawy opizp),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30 listopada 2019r.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712" w:hRule="atLeast"/>
          <w:cantSplit w:val="true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ndara" w:hAnsi="Candara" w:eastAsia="Times New Roman" w:cs="Arial"/>
                <w:b/>
                <w:b/>
                <w:smallCap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 xml:space="preserve">Przekazanie do uchwalenia </w:t>
            </w:r>
          </w:p>
        </w:tc>
        <w:tc>
          <w:tcPr>
            <w:tcW w:w="5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przekazanie do uchwalenia projektu planu wraz uzasadnieniem i rozstrzygnięciami, o których mowa w art. 20 ust.1 ustawy opizp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sz w:val="16"/>
                <w:szCs w:val="16"/>
                <w:lang w:eastAsia="pl-PL"/>
              </w:rPr>
              <w:t>31 grudnia 2019r.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[ 10% ]</w:t>
            </w:r>
          </w:p>
        </w:tc>
      </w:tr>
      <w:tr>
        <w:trPr>
          <w:trHeight w:val="872" w:hRule="atLeast"/>
          <w:cantSplit w:val="true"/>
        </w:trPr>
        <w:tc>
          <w:tcPr>
            <w:tcW w:w="1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20"/>
                <w:szCs w:val="20"/>
                <w:lang w:eastAsia="pl-PL"/>
              </w:rPr>
              <w:t>ETAP VI:</w:t>
            </w:r>
          </w:p>
          <w:p>
            <w:pPr>
              <w:pStyle w:val="Normal"/>
              <w:spacing w:lineRule="auto" w:line="240" w:before="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ndara" w:hAnsi="Candara"/>
                <w:b w:val="false"/>
                <w:bCs w:val="false"/>
                <w:smallCaps/>
                <w:sz w:val="20"/>
                <w:szCs w:val="20"/>
                <w:lang w:eastAsia="pl-PL"/>
              </w:rPr>
              <w:t>Czynności po uchwaleniu planu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przygotowanie i przekazanie 2 egzemplarzy dokumentacji planistycznej, w tym 1 zawierającej oryginały dokumentów (art. 20 ust. 2 ustawy opizp) a także pisemnego podsumowania, o którym mowa w art. 55. ust. 3 i 4 ustawy ouioś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opublikowanie planu w Dzienniku Urzędowym Województwa Dolnośląskiego.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iCs/>
                <w:sz w:val="16"/>
                <w:szCs w:val="16"/>
                <w:lang w:eastAsia="pl-PL"/>
              </w:rPr>
              <w:t>sprawdzenie dokumentacji planu przez Wydział Nadzoru i Kontroli Dolnośląskiego Urzędu Wojewódzkiego.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Do uzyskania od DUW informacji o braku wad prawnych w dokumentacji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[ 20% ]</w:t>
            </w:r>
          </w:p>
        </w:tc>
      </w:tr>
      <w:tr>
        <w:trPr>
          <w:cantSplit w:val="true"/>
        </w:trPr>
        <w:tc>
          <w:tcPr>
            <w:tcW w:w="6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ndara" w:hAnsi="Candara" w:eastAsia="Times New Roman" w:cs="Times New Roman"/>
                <w:b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Candara" w:hAnsi="Candara"/>
                <w:b/>
                <w:bCs/>
                <w:iCs/>
                <w:sz w:val="16"/>
                <w:szCs w:val="16"/>
                <w:lang w:eastAsia="pl-PL"/>
              </w:rPr>
              <w:t>[ 100% ]</w:t>
            </w:r>
          </w:p>
        </w:tc>
      </w:tr>
    </w:tbl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/>
          <w:b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/>
          <w:bCs/>
          <w:sz w:val="20"/>
          <w:szCs w:val="20"/>
          <w:vertAlign w:val="superscript"/>
          <w:lang w:eastAsia="pl-PL"/>
        </w:rPr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*) ustawa opizp 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planowaniu i zagospodarowaniu przestrzennym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 poz. 1945),</w:t>
      </w:r>
    </w:p>
    <w:p>
      <w:pPr>
        <w:pStyle w:val="Normal"/>
        <w:spacing w:lineRule="auto" w:line="240" w:before="0" w:after="0"/>
        <w:ind w:left="1276" w:right="-565" w:hanging="1276"/>
        <w:jc w:val="both"/>
        <w:rPr/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**) ustawa ouioś – </w:t>
      </w:r>
      <w:r>
        <w:rPr>
          <w:rFonts w:eastAsia="Times New Roman" w:cs="Times New Roman" w:ascii="Candara" w:hAnsi="Candara"/>
          <w:i/>
          <w:iCs/>
          <w:sz w:val="20"/>
          <w:szCs w:val="20"/>
          <w:lang w:eastAsia="pl-PL"/>
        </w:rPr>
        <w:t>ustawa o udostępnianiu informacji o środowisku i jego ochronie, udziale społeczeństwa o ochronie środowiska oraz o ocenach oddziaływania na środowisko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(Dz. U. z 2018 r., poz. 2081 ze zmianami),</w:t>
      </w:r>
    </w:p>
    <w:p>
      <w:pPr>
        <w:pStyle w:val="Normal"/>
        <w:spacing w:lineRule="auto" w:line="240" w:before="0" w:after="0"/>
        <w:ind w:right="-565" w:hanging="0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1)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sz w:val="20"/>
          <w:szCs w:val="20"/>
          <w:lang w:eastAsia="pl-PL"/>
        </w:rPr>
        <w:t>Etapu 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przesunięciu w przypadku opóźnienia wynikającego z konieczności pozyskania map o których mowa w §3 ust.1 umowy,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bCs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>2)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III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 oczekiwania na ustalenie terminu posiedzenia Gminnej Komisji Urbanistyczno – Architektonicznej,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3)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IV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uzgadniania w wyniku wprowadzonych zmian na podstawie otrzymanych opinii i uzgodnień,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zgodę na zmianę przeznaczenia gruntów rolnych i leśnych na cele nierolnicze i nieleśne,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konieczności powtórzenia procedury w niezbędnym zakresie w wyniku wprowadzonych zmian wynikających z uwzględnienia złożonych uwag do projektu planu;</w:t>
      </w:r>
    </w:p>
    <w:p>
      <w:pPr>
        <w:pStyle w:val="Normal"/>
        <w:spacing w:lineRule="auto" w:line="240" w:before="0" w:after="0"/>
        <w:ind w:left="142" w:right="-565" w:hanging="153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bCs/>
          <w:sz w:val="20"/>
          <w:szCs w:val="20"/>
          <w:vertAlign w:val="superscript"/>
          <w:lang w:eastAsia="pl-PL"/>
        </w:rPr>
        <w:t xml:space="preserve">4) 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Termin realizacji </w:t>
      </w:r>
      <w:r>
        <w:rPr>
          <w:rFonts w:eastAsia="Times New Roman" w:cs="Times New Roman" w:ascii="Candara" w:hAnsi="Candara"/>
          <w:b/>
          <w:bCs/>
          <w:sz w:val="20"/>
          <w:szCs w:val="20"/>
          <w:lang w:eastAsia="pl-PL"/>
        </w:rPr>
        <w:t>Etapu VI</w:t>
      </w:r>
      <w:r>
        <w:rPr>
          <w:rFonts w:eastAsia="Times New Roman" w:cs="Times New Roman" w:ascii="Candara" w:hAnsi="Candara"/>
          <w:sz w:val="20"/>
          <w:szCs w:val="20"/>
          <w:lang w:eastAsia="pl-PL"/>
        </w:rPr>
        <w:t xml:space="preserve"> może ulec przedłużeniu w przypadku: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360" w:right="-565" w:hanging="218"/>
        <w:jc w:val="both"/>
        <w:rPr>
          <w:rFonts w:ascii="Candara" w:hAnsi="Candar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ndara" w:hAnsi="Candara"/>
          <w:sz w:val="20"/>
          <w:szCs w:val="20"/>
          <w:lang w:eastAsia="pl-PL"/>
        </w:rPr>
        <w:t>oczekiwania na sesję Rady Gminy Miłkowice.</w:t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142" w:right="-565" w:hanging="0"/>
        <w:jc w:val="both"/>
        <w:rPr>
          <w:rFonts w:ascii="Candara" w:hAnsi="Candara" w:eastAsia="Times New Roman" w:cs="Times New Roman"/>
          <w:sz w:val="14"/>
          <w:szCs w:val="14"/>
          <w:lang w:eastAsia="pl-PL"/>
        </w:rPr>
      </w:pPr>
      <w:r>
        <w:rPr>
          <w:rFonts w:eastAsia="Times New Roman" w:cs="Times New Roman" w:ascii="Candara" w:hAnsi="Candara"/>
          <w:sz w:val="14"/>
          <w:szCs w:val="14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Candara" w:hAnsi="Candara"/>
          <w:b/>
          <w:bCs/>
          <w:sz w:val="20"/>
          <w:szCs w:val="20"/>
          <w:lang w:eastAsia="pl-P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andara" w:hAnsi="Candar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Candara" w:hAnsi="Candara"/>
          <w:b/>
          <w:bCs/>
          <w:sz w:val="24"/>
          <w:szCs w:val="24"/>
          <w:lang w:eastAsia="pl-PL"/>
        </w:rPr>
        <w:t>WYKONAWCA</w:t>
        <w:tab/>
        <w:tab/>
        <w:t xml:space="preserve">   </w:t>
        <w:tab/>
        <w:t xml:space="preserve">                                                      </w:t>
        <w:tab/>
        <w:tab/>
        <w:t>ZAMAWIAJĄCY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  <w:i w:val="false"/>
        <w:b w:val="false"/>
        <w:szCs w:val="20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sz w:val="24"/>
        <w:i w:val="false"/>
        <w:b w:val="false"/>
        <w:szCs w:val="22"/>
        <w:iCs w:val="false"/>
        <w:bCs w:val="false"/>
        <w:rFonts w:ascii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OpenSymbol" w:hAnsi="OpenSymbol" w:cs="OpenSymbol" w:hint="default"/>
        <w:sz w:val="20"/>
        <w:szCs w:val="20"/>
        <w:rFonts w:cs="OpenSymbol"/>
      </w:rPr>
    </w:lvl>
    <w:lvl w:ilvl="4">
      <w:start w:val="1"/>
      <w:numFmt w:val="decimal"/>
      <w:lvlText w:val="(%5)"/>
      <w:lvlJc w:val="left"/>
      <w:pPr>
        <w:ind w:left="3117" w:hanging="708"/>
      </w:pPr>
    </w:lvl>
    <w:lvl w:ilvl="5">
      <w:start w:val="1"/>
      <w:numFmt w:val="lowerLetter"/>
      <w:lvlText w:val="(%6)"/>
      <w:lvlJc w:val="left"/>
      <w:pPr>
        <w:ind w:left="3825" w:hanging="708"/>
      </w:pPr>
    </w:lvl>
    <w:lvl w:ilvl="6">
      <w:start w:val="1"/>
      <w:numFmt w:val="lowerRoman"/>
      <w:lvlText w:val="(%7)"/>
      <w:lvlJc w:val="left"/>
      <w:pPr>
        <w:ind w:left="4533" w:hanging="708"/>
      </w:pPr>
    </w:lvl>
    <w:lvl w:ilvl="7">
      <w:start w:val="1"/>
      <w:numFmt w:val="lowerLetter"/>
      <w:lvlText w:val="(%8)"/>
      <w:lvlJc w:val="left"/>
      <w:pPr>
        <w:ind w:left="5241" w:hanging="708"/>
      </w:pPr>
    </w:lvl>
    <w:lvl w:ilvl="8">
      <w:start w:val="1"/>
      <w:numFmt w:val="lowerRoman"/>
      <w:lvlText w:val="(%9)"/>
      <w:lvlJc w:val="left"/>
      <w:pPr>
        <w:ind w:left="5949" w:hanging="708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4"/>
        <w:rFonts w:ascii="Candara" w:hAnsi="Canda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1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Candara" w:hAnsi="Candara"/>
      <w:sz w:val="20"/>
      <w:szCs w:val="14"/>
    </w:rPr>
  </w:style>
  <w:style w:type="character" w:styleId="ListLabel6">
    <w:name w:val="ListLabel 6"/>
    <w:qFormat/>
    <w:rPr>
      <w:rFonts w:ascii="Candara" w:hAnsi="Candara"/>
      <w:sz w:val="20"/>
      <w:szCs w:val="14"/>
    </w:rPr>
  </w:style>
  <w:style w:type="character" w:styleId="ListLabel7">
    <w:name w:val="ListLabel 7"/>
    <w:qFormat/>
    <w:rPr>
      <w:rFonts w:ascii="Calibri" w:hAnsi="Calibri"/>
      <w:color w:val="000000"/>
      <w:sz w:val="24"/>
    </w:rPr>
  </w:style>
  <w:style w:type="character" w:styleId="ListLabel8">
    <w:name w:val="ListLabel 8"/>
    <w:qFormat/>
    <w:rPr>
      <w:rFonts w:ascii="Calibri" w:hAnsi="Calibri"/>
      <w:color w:val="000000"/>
      <w:sz w:val="24"/>
    </w:rPr>
  </w:style>
  <w:style w:type="character" w:styleId="ListLabel9">
    <w:name w:val="ListLabel 9"/>
    <w:qFormat/>
    <w:rPr>
      <w:rFonts w:ascii="Calibri" w:hAnsi="Calibri"/>
      <w:color w:val="000000"/>
      <w:sz w:val="24"/>
    </w:rPr>
  </w:style>
  <w:style w:type="character" w:styleId="ListLabel10">
    <w:name w:val="ListLabel 10"/>
    <w:qFormat/>
    <w:rPr>
      <w:rFonts w:ascii="Calibri" w:hAnsi="Calibri"/>
      <w:color w:val="000000"/>
      <w:sz w:val="24"/>
    </w:rPr>
  </w:style>
  <w:style w:type="character" w:styleId="ListLabel11">
    <w:name w:val="ListLabel 11"/>
    <w:qFormat/>
    <w:rPr>
      <w:rFonts w:ascii="Calibri" w:hAnsi="Calibri"/>
      <w:color w:val="000000"/>
      <w:sz w:val="24"/>
    </w:rPr>
  </w:style>
  <w:style w:type="character" w:styleId="ListLabel12">
    <w:name w:val="ListLabel 12"/>
    <w:qFormat/>
    <w:rPr>
      <w:rFonts w:ascii="Calibri" w:hAnsi="Calibri"/>
      <w:color w:val="000000"/>
      <w:sz w:val="24"/>
    </w:rPr>
  </w:style>
  <w:style w:type="character" w:styleId="ListLabel13">
    <w:name w:val="ListLabel 13"/>
    <w:qFormat/>
    <w:rPr>
      <w:rFonts w:ascii="Calibri" w:hAnsi="Calibri" w:cs="Times New Roman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  <w:sz w:val="20"/>
      <w:szCs w:val="20"/>
    </w:rPr>
  </w:style>
  <w:style w:type="character" w:styleId="ListLabel23">
    <w:name w:val="ListLabel 23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24">
    <w:name w:val="ListLabel 24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ascii="Candara" w:hAnsi="Candara"/>
      <w:sz w:val="20"/>
      <w:szCs w:val="14"/>
    </w:rPr>
  </w:style>
  <w:style w:type="character" w:styleId="ListLabel27">
    <w:name w:val="ListLabel 27"/>
    <w:qFormat/>
    <w:rPr>
      <w:rFonts w:ascii="Candara" w:hAnsi="Candara"/>
      <w:sz w:val="20"/>
      <w:szCs w:val="14"/>
    </w:rPr>
  </w:style>
  <w:style w:type="character" w:styleId="ListLabel28">
    <w:name w:val="ListLabel 28"/>
    <w:qFormat/>
    <w:rPr>
      <w:rFonts w:ascii="Calibri" w:hAnsi="Calibri"/>
      <w:color w:val="000000"/>
      <w:sz w:val="24"/>
    </w:rPr>
  </w:style>
  <w:style w:type="character" w:styleId="ListLabel29">
    <w:name w:val="ListLabel 29"/>
    <w:qFormat/>
    <w:rPr>
      <w:rFonts w:ascii="Calibri" w:hAnsi="Calibri"/>
      <w:color w:val="000000"/>
      <w:sz w:val="24"/>
    </w:rPr>
  </w:style>
  <w:style w:type="character" w:styleId="ListLabel30">
    <w:name w:val="ListLabel 30"/>
    <w:qFormat/>
    <w:rPr>
      <w:rFonts w:ascii="Calibri" w:hAnsi="Calibri"/>
      <w:color w:val="000000"/>
      <w:sz w:val="24"/>
    </w:rPr>
  </w:style>
  <w:style w:type="character" w:styleId="ListLabel31">
    <w:name w:val="ListLabel 31"/>
    <w:qFormat/>
    <w:rPr>
      <w:rFonts w:ascii="Calibri" w:hAnsi="Calibri"/>
      <w:color w:val="000000"/>
      <w:sz w:val="24"/>
    </w:rPr>
  </w:style>
  <w:style w:type="character" w:styleId="ListLabel32">
    <w:name w:val="ListLabel 32"/>
    <w:qFormat/>
    <w:rPr>
      <w:rFonts w:ascii="Calibri" w:hAnsi="Calibri"/>
      <w:color w:val="000000"/>
      <w:sz w:val="24"/>
    </w:rPr>
  </w:style>
  <w:style w:type="character" w:styleId="ListLabel33">
    <w:name w:val="ListLabel 33"/>
    <w:qFormat/>
    <w:rPr>
      <w:rFonts w:ascii="Calibri" w:hAnsi="Calibri"/>
      <w:color w:val="000000"/>
      <w:sz w:val="24"/>
    </w:rPr>
  </w:style>
  <w:style w:type="character" w:styleId="ListLabel34">
    <w:name w:val="ListLabel 34"/>
    <w:qFormat/>
    <w:rPr>
      <w:rFonts w:ascii="Calibri" w:hAnsi="Calibri" w:cs="Times New Roman"/>
      <w:sz w:val="24"/>
      <w:szCs w:val="24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  <w:b w:val="false"/>
      <w:i w:val="false"/>
      <w:sz w:val="20"/>
      <w:szCs w:val="20"/>
    </w:rPr>
  </w:style>
  <w:style w:type="character" w:styleId="ListLabel44">
    <w:name w:val="ListLabel 44"/>
    <w:qFormat/>
    <w:rPr>
      <w:rFonts w:ascii="Calibri" w:hAnsi="Calibri" w:cs="Times New Roman"/>
      <w:b w:val="false"/>
      <w:bCs w:val="false"/>
      <w:i w:val="false"/>
      <w:iCs w:val="false"/>
      <w:sz w:val="24"/>
      <w:szCs w:val="22"/>
    </w:rPr>
  </w:style>
  <w:style w:type="character" w:styleId="ListLabel45">
    <w:name w:val="ListLabel 45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46">
    <w:name w:val="ListLabel 46"/>
    <w:qFormat/>
    <w:rPr>
      <w:rFonts w:cs="OpenSymbol"/>
      <w:sz w:val="20"/>
      <w:szCs w:val="20"/>
    </w:rPr>
  </w:style>
  <w:style w:type="character" w:styleId="ListLabel47">
    <w:name w:val="ListLabel 47"/>
    <w:qFormat/>
    <w:rPr>
      <w:rFonts w:ascii="Candara" w:hAnsi="Candara"/>
      <w:sz w:val="20"/>
      <w:szCs w:val="14"/>
    </w:rPr>
  </w:style>
  <w:style w:type="character" w:styleId="ListLabel48">
    <w:name w:val="ListLabel 48"/>
    <w:qFormat/>
    <w:rPr>
      <w:rFonts w:ascii="Candara" w:hAnsi="Candara"/>
      <w:sz w:val="20"/>
      <w:szCs w:val="14"/>
    </w:rPr>
  </w:style>
  <w:style w:type="character" w:styleId="ListLabel49">
    <w:name w:val="ListLabel 49"/>
    <w:qFormat/>
    <w:rPr>
      <w:rFonts w:ascii="Calibri" w:hAnsi="Calibri"/>
      <w:color w:val="000000"/>
      <w:sz w:val="24"/>
    </w:rPr>
  </w:style>
  <w:style w:type="character" w:styleId="ListLabel50">
    <w:name w:val="ListLabel 50"/>
    <w:qFormat/>
    <w:rPr>
      <w:rFonts w:ascii="Calibri" w:hAnsi="Calibri"/>
      <w:color w:val="000000"/>
      <w:sz w:val="24"/>
    </w:rPr>
  </w:style>
  <w:style w:type="character" w:styleId="ListLabel51">
    <w:name w:val="ListLabel 51"/>
    <w:qFormat/>
    <w:rPr>
      <w:rFonts w:ascii="Calibri" w:hAnsi="Calibri"/>
      <w:color w:val="000000"/>
      <w:sz w:val="24"/>
    </w:rPr>
  </w:style>
  <w:style w:type="character" w:styleId="ListLabel52">
    <w:name w:val="ListLabel 52"/>
    <w:qFormat/>
    <w:rPr>
      <w:rFonts w:ascii="Calibri" w:hAnsi="Calibri"/>
      <w:color w:val="000000"/>
      <w:sz w:val="24"/>
    </w:rPr>
  </w:style>
  <w:style w:type="character" w:styleId="ListLabel53">
    <w:name w:val="ListLabel 53"/>
    <w:qFormat/>
    <w:rPr>
      <w:rFonts w:ascii="Calibri" w:hAnsi="Calibri"/>
      <w:color w:val="000000"/>
      <w:sz w:val="24"/>
    </w:rPr>
  </w:style>
  <w:style w:type="character" w:styleId="ListLabel54">
    <w:name w:val="ListLabel 54"/>
    <w:qFormat/>
    <w:rPr>
      <w:rFonts w:ascii="Calibri" w:hAnsi="Calibri"/>
      <w:color w:val="000000"/>
      <w:sz w:val="24"/>
    </w:rPr>
  </w:style>
  <w:style w:type="character" w:styleId="ListLabel55">
    <w:name w:val="ListLabel 55"/>
    <w:qFormat/>
    <w:rPr>
      <w:rFonts w:ascii="Calibri" w:hAnsi="Calibri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2ECE-7962-4AAA-8E12-BCA9D2AF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7</Pages>
  <Words>2198</Words>
  <Characters>14434</Characters>
  <CharactersWithSpaces>16634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2019-01-28T12:28:00Z</dcterms:created>
  <dc:creator>Tadeusz Dec</dc:creator>
  <dc:description/>
  <dc:language>pl-PL</dc:language>
  <cp:lastModifiedBy/>
  <dcterms:modified xsi:type="dcterms:W3CDTF">2019-01-30T13:58:53Z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