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36" w:before="0" w:after="150"/>
        <w:jc w:val="right"/>
        <w:rPr>
          <w:rFonts w:ascii="Bookman Old Style" w:hAnsi="Bookman Old Style"/>
          <w:color w:val="2D2D2D"/>
          <w:sz w:val="20"/>
          <w:szCs w:val="20"/>
        </w:rPr>
      </w:pPr>
      <w:r>
        <w:rPr>
          <w:rFonts w:ascii="Bookman Old Style" w:hAnsi="Bookman Old Style"/>
          <w:color w:val="2D2D2D"/>
          <w:sz w:val="20"/>
          <w:szCs w:val="20"/>
        </w:rPr>
        <w:t>Miłkowice, dnia 04.02.2019r</w:t>
      </w:r>
    </w:p>
    <w:p>
      <w:pPr>
        <w:pStyle w:val="Textbody"/>
        <w:spacing w:lineRule="auto" w:line="336" w:before="0" w:after="150"/>
        <w:rPr>
          <w:rFonts w:ascii="Bookman Old Style" w:hAnsi="Bookman Old Style"/>
          <w:color w:val="2D2D2D"/>
          <w:sz w:val="20"/>
          <w:szCs w:val="20"/>
        </w:rPr>
      </w:pPr>
      <w:r>
        <w:rPr>
          <w:rFonts w:ascii="Bookman Old Style" w:hAnsi="Bookman Old Style"/>
          <w:color w:val="2D2D2D"/>
          <w:sz w:val="20"/>
          <w:szCs w:val="20"/>
        </w:rPr>
        <w:t>RGP.271.III.1.2019r</w:t>
      </w:r>
    </w:p>
    <w:p>
      <w:pPr>
        <w:pStyle w:val="Textbody"/>
        <w:spacing w:lineRule="auto" w:line="336" w:before="0" w:after="150"/>
        <w:jc w:val="right"/>
        <w:rPr>
          <w:rFonts w:ascii="Bookman Old Style" w:hAnsi="Bookman Old Style"/>
          <w:color w:val="2D2D2D"/>
          <w:sz w:val="20"/>
          <w:szCs w:val="20"/>
        </w:rPr>
      </w:pPr>
      <w:r>
        <w:rPr>
          <w:rFonts w:ascii="Bookman Old Style" w:hAnsi="Bookman Old Style"/>
          <w:color w:val="2D2D2D"/>
          <w:sz w:val="20"/>
          <w:szCs w:val="20"/>
        </w:rPr>
      </w:r>
    </w:p>
    <w:p>
      <w:pPr>
        <w:pStyle w:val="Textbody"/>
        <w:spacing w:lineRule="auto" w:line="336" w:before="0" w:after="150"/>
        <w:jc w:val="center"/>
        <w:rPr>
          <w:rFonts w:ascii="Bookman Old Style" w:hAnsi="Bookman Old Style"/>
          <w:b/>
          <w:b/>
          <w:bCs/>
          <w:color w:val="2D2D2D"/>
          <w:sz w:val="20"/>
          <w:szCs w:val="20"/>
        </w:rPr>
      </w:pPr>
      <w:r>
        <w:rPr>
          <w:rFonts w:ascii="Bookman Old Style" w:hAnsi="Bookman Old Style"/>
          <w:b/>
          <w:bCs/>
          <w:color w:val="2D2D2D"/>
        </w:rPr>
        <w:t>Zapytania i odpowiedzi</w:t>
      </w:r>
    </w:p>
    <w:p>
      <w:pPr>
        <w:pStyle w:val="Textbody"/>
        <w:spacing w:lineRule="auto" w:line="336" w:before="0" w:after="150"/>
        <w:jc w:val="right"/>
        <w:rPr>
          <w:rFonts w:ascii="Times New Roman" w:hAnsi="Times New Roman"/>
          <w:color w:val="2D2D2D"/>
          <w:sz w:val="20"/>
          <w:szCs w:val="20"/>
        </w:rPr>
      </w:pPr>
      <w:r>
        <w:rPr>
          <w:rFonts w:ascii="Times New Roman" w:hAnsi="Times New Roman"/>
          <w:color w:val="2D2D2D"/>
          <w:sz w:val="20"/>
          <w:szCs w:val="20"/>
        </w:rPr>
      </w:r>
    </w:p>
    <w:p>
      <w:pPr>
        <w:pStyle w:val="Textbody"/>
        <w:spacing w:lineRule="auto" w:line="336" w:before="0" w:after="150"/>
        <w:jc w:val="both"/>
        <w:rPr>
          <w:rFonts w:ascii="Bookman Old Style" w:hAnsi="Bookman Old Style"/>
          <w:color w:val="2D2D2D"/>
        </w:rPr>
      </w:pPr>
      <w:r>
        <w:rPr>
          <w:rFonts w:ascii="Bookman Old Style" w:hAnsi="Bookman Old Style"/>
          <w:color w:val="2D2D2D"/>
        </w:rPr>
        <w:t xml:space="preserve">Dotyczy postępowania pn; </w:t>
      </w:r>
      <w:r>
        <w:rPr>
          <w:rFonts w:cs="Bookman Old Style" w:ascii="Bookman Old Style" w:hAnsi="Bookman Old Style"/>
          <w:color w:val="2D2D2D"/>
        </w:rPr>
        <w:t xml:space="preserve">Sporządzenie miejscowego planu zagospodarowania przestrzennego terenu położonego w obrębie miejscowości </w:t>
      </w:r>
      <w:r>
        <w:rPr>
          <w:rFonts w:cs="Bookman Old Style" w:ascii="Bookman Old Style" w:hAnsi="Bookman Old Style"/>
          <w:color w:val="2D2D2D"/>
          <w:lang w:eastAsia="pl-PL"/>
        </w:rPr>
        <w:t>wsi Dobrzejów (MPZP Dobrzejów) w obrębie wsi Jezierzany (MPZP Jezierzany II), w obrębie wsi Miłkowice (MPZP Miłkowice) – gmina Miłkowice z możliwością składania ofert częściowych na poszczególne zadania.</w:t>
      </w:r>
    </w:p>
    <w:p>
      <w:pPr>
        <w:pStyle w:val="Textbody"/>
        <w:spacing w:lineRule="auto" w:line="336" w:before="0" w:after="150"/>
        <w:jc w:val="both"/>
        <w:rPr>
          <w:rFonts w:ascii="Bookman Old Style" w:hAnsi="Bookman Old Style"/>
          <w:color w:val="2D2D2D"/>
        </w:rPr>
      </w:pPr>
      <w:r>
        <w:rPr>
          <w:rFonts w:ascii="Bookman Old Style" w:hAnsi="Bookman Old Style"/>
          <w:color w:val="2D2D2D"/>
        </w:rPr>
        <w:t>Zamawiający informuje, iż wpłynęły do Zamawiającego następujące pytania:</w:t>
      </w:r>
    </w:p>
    <w:p>
      <w:pPr>
        <w:pStyle w:val="Textbody"/>
        <w:spacing w:lineRule="auto" w:line="336" w:before="0" w:after="150"/>
        <w:jc w:val="both"/>
        <w:rPr>
          <w:rFonts w:ascii="Bookman Old Style" w:hAnsi="Bookman Old Style"/>
          <w:b/>
          <w:b/>
          <w:bCs/>
          <w:color w:val="2D2D2D"/>
          <w:u w:val="single"/>
        </w:rPr>
      </w:pPr>
      <w:r>
        <w:rPr>
          <w:rFonts w:ascii="Bookman Old Style" w:hAnsi="Bookman Old Style"/>
          <w:b/>
          <w:bCs/>
          <w:color w:val="2D2D2D"/>
          <w:u w:val="single"/>
        </w:rPr>
        <w:t>Pytanie nr 1</w:t>
      </w:r>
    </w:p>
    <w:p>
      <w:pPr>
        <w:pStyle w:val="Standard"/>
        <w:spacing w:lineRule="auto" w:line="336" w:before="0" w:after="150"/>
        <w:jc w:val="both"/>
        <w:rPr>
          <w:rFonts w:ascii="Bookman Old Style" w:hAnsi="Bookman Old Style"/>
          <w:color w:val="2D2D2D"/>
        </w:rPr>
      </w:pPr>
      <w:r>
        <w:rPr>
          <w:rFonts w:ascii="Bookman Old Style" w:hAnsi="Bookman Old Style"/>
          <w:color w:val="2D2D2D"/>
        </w:rPr>
        <w:t>Proszę o wyjaśnienie wymogu wskazanego w części II zapytania pkt 2 lit. b:</w:t>
      </w:r>
      <w:r>
        <w:rPr>
          <w:rStyle w:val="Mocnowyrniony"/>
        </w:rPr>
        <w:t xml:space="preserve"> </w:t>
      </w:r>
      <w:r>
        <w:rPr>
          <w:rStyle w:val="Wyrnienie"/>
        </w:rPr>
        <w:t>"W zakresie potwierdzenia niepodlegania wykluczeniu należy przedłożyć: aktualny odpis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ofert." -</w:t>
      </w:r>
      <w:r>
        <w:rPr>
          <w:rFonts w:ascii="Bookman Old Style" w:hAnsi="Bookman Old Style"/>
          <w:color w:val="2D2D2D"/>
        </w:rPr>
        <w:t>wobec aktualnego stanu prawnego, w którym wspomniany art. 24 ust. 1 pkt 2 ustawy został uchylony, a jak czytamy na stronie Centralnej Ewidencji i Informacji o Działalności Gospodarczej "Organy administracji publicznej nie mogą domagać się od przedsiębiorców okazywania, przekazywania lub załączania do wniosków i innych przedkładanych przed nimi pism, zaświadczeń o wpisie do CEIDG".</w:t>
      </w:r>
    </w:p>
    <w:p>
      <w:pPr>
        <w:pStyle w:val="Standard"/>
        <w:spacing w:lineRule="auto" w:line="336" w:before="0" w:after="150"/>
        <w:jc w:val="both"/>
        <w:rPr>
          <w:rFonts w:ascii="Bookman Old Style" w:hAnsi="Bookman Old Style"/>
          <w:b/>
          <w:b/>
          <w:bCs/>
          <w:color w:val="2D2D2D"/>
          <w:u w:val="single"/>
        </w:rPr>
      </w:pPr>
      <w:r>
        <w:rPr>
          <w:rFonts w:ascii="Bookman Old Style" w:hAnsi="Bookman Old Style"/>
          <w:b/>
          <w:bCs/>
          <w:color w:val="2D2D2D"/>
          <w:u w:val="single"/>
        </w:rPr>
        <w:t>Odpowiedź:</w:t>
      </w:r>
    </w:p>
    <w:p>
      <w:pPr>
        <w:pStyle w:val="Standard"/>
        <w:spacing w:lineRule="auto" w:line="336" w:before="0" w:after="150"/>
        <w:jc w:val="both"/>
        <w:rPr>
          <w:rFonts w:ascii="Bookman Old Style" w:hAnsi="Bookman Old Style"/>
          <w:color w:val="2D2D2D"/>
        </w:rPr>
      </w:pPr>
      <w:r>
        <w:rPr>
          <w:rFonts w:ascii="Bookman Old Style" w:hAnsi="Bookman Old Style"/>
          <w:color w:val="2D2D2D"/>
        </w:rPr>
        <w:t>Zamawiający informuję, iż Zamawiający omyłkowo posłużył się nieaktualną podstawą prawną. W związku z powyższym Zamawiający modyfikuje niniejszy warunek w następujący sposób:</w:t>
      </w:r>
    </w:p>
    <w:p>
      <w:pPr>
        <w:pStyle w:val="Standard"/>
        <w:widowControl w:val="false"/>
        <w:spacing w:lineRule="auto" w:line="336" w:before="0" w:after="150"/>
        <w:jc w:val="both"/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 xml:space="preserve">„ </w:t>
      </w:r>
      <w:r>
        <w:rPr>
          <w:rFonts w:cs="Calibri" w:ascii="Bookman Old Style" w:hAnsi="Bookman Old Style"/>
        </w:rPr>
        <w:t>b. Z postępowania o udzielenie zamówienia wyklucza się Wykonawcę w stosunku, do którego zachodzą okoliczności o których mowa w art. 24 ust. 1 pkt 12-23 ustawy oraz art. 24 ust. 5 pkt.1</w:t>
      </w:r>
    </w:p>
    <w:p>
      <w:pPr>
        <w:pStyle w:val="Standard"/>
        <w:widowControl w:val="false"/>
        <w:rPr>
          <w:rFonts w:ascii="Bookman Old Style" w:hAnsi="Bookman Old Style" w:cs="Calibri"/>
          <w:b/>
          <w:b/>
          <w:color w:val="000000"/>
          <w:sz w:val="20"/>
          <w:szCs w:val="20"/>
          <w:u w:val="single"/>
        </w:rPr>
      </w:pPr>
      <w:r>
        <w:rPr>
          <w:rFonts w:cs="Calibri" w:ascii="Bookman Old Style" w:hAnsi="Bookman Old Style"/>
          <w:b/>
          <w:color w:val="000000"/>
          <w:sz w:val="20"/>
          <w:szCs w:val="20"/>
          <w:u w:val="single"/>
        </w:rPr>
        <w:t>W celu potwierdzenia braku podstaw do wykluczenia Wykonawcy z udziału w postępowaniu</w:t>
      </w:r>
    </w:p>
    <w:p>
      <w:pPr>
        <w:pStyle w:val="Standard"/>
        <w:widowControl w:val="false"/>
        <w:rPr>
          <w:rFonts w:ascii="Bookman Old Style" w:hAnsi="Bookman Old Style" w:cs="Calibri"/>
          <w:b/>
          <w:b/>
          <w:color w:val="000000"/>
          <w:sz w:val="20"/>
          <w:szCs w:val="20"/>
          <w:u w:val="single"/>
        </w:rPr>
      </w:pPr>
      <w:r>
        <w:rPr>
          <w:rFonts w:cs="Calibri" w:ascii="Bookman Old Style" w:hAnsi="Bookman Old Style"/>
          <w:b/>
          <w:color w:val="000000"/>
          <w:sz w:val="20"/>
          <w:szCs w:val="20"/>
          <w:u w:val="single"/>
        </w:rPr>
      </w:r>
    </w:p>
    <w:p>
      <w:pPr>
        <w:pStyle w:val="Standard"/>
        <w:widowControl w:val="false"/>
        <w:spacing w:lineRule="auto" w:line="336" w:before="0" w:after="150"/>
        <w:jc w:val="both"/>
        <w:rPr>
          <w:rFonts w:ascii="Bookman Old Style" w:hAnsi="Bookman Old Style" w:cs="Calibri"/>
        </w:rPr>
      </w:pPr>
      <w:r>
        <w:rPr>
          <w:rFonts w:cs="Calibri" w:ascii="Bookman Old Style" w:hAnsi="Bookman Old Style"/>
          <w:color w:val="000000"/>
        </w:rPr>
        <w:t xml:space="preserve">Odpis z właściwego rejestru lub centralnej ewidencji i informacji o działalności gospodarczej, jeżeli odrębne przepisy wymagają wpisu do rejestru lub ewidencji, w celu potwierdzenia braku podstaw wykluczenia na podstawie art. 24 ust. 5 pkt. 1 ustawy”. </w:t>
      </w:r>
    </w:p>
    <w:p>
      <w:pPr>
        <w:pStyle w:val="Standard"/>
        <w:widowControl w:val="false"/>
        <w:spacing w:lineRule="auto" w:line="336" w:before="0" w:after="150"/>
        <w:rPr>
          <w:rFonts w:ascii="Bookman Old Style" w:hAnsi="Bookman Old Style" w:cs="Calibri"/>
          <w:b/>
          <w:b/>
          <w:bCs/>
          <w:color w:val="000000"/>
          <w:u w:val="single"/>
        </w:rPr>
      </w:pPr>
      <w:r>
        <w:rPr>
          <w:rFonts w:cs="Calibri" w:ascii="Bookman Old Style" w:hAnsi="Bookman Old Style"/>
          <w:b/>
          <w:bCs/>
          <w:color w:val="000000"/>
          <w:u w:val="single"/>
        </w:rPr>
        <w:t>Pytanie nr 2</w:t>
      </w:r>
    </w:p>
    <w:p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Czy na etapie podpisywania umowy z wybranym wykonawcą istnieje możliwość zmiany poszczególnych terminów harmonogramu wykonania przedmiotu zamówienia (bez zmiany końcowego terminu wykonania umowy)?</w:t>
      </w:r>
    </w:p>
    <w:p>
      <w:pPr>
        <w:pStyle w:val="Standard"/>
        <w:spacing w:lineRule="auto" w:line="336" w:before="0" w:after="150"/>
        <w:jc w:val="both"/>
        <w:rPr>
          <w:rFonts w:ascii="Bookman Old Style" w:hAnsi="Bookman Old Style"/>
          <w:color w:val="2D2D2D"/>
        </w:rPr>
      </w:pPr>
      <w:r>
        <w:rPr>
          <w:rFonts w:ascii="Bookman Old Style" w:hAnsi="Bookman Old Style"/>
          <w:color w:val="2D2D2D"/>
        </w:rPr>
      </w:r>
    </w:p>
    <w:p>
      <w:pPr>
        <w:pStyle w:val="Standard"/>
        <w:spacing w:lineRule="auto" w:line="336" w:before="0" w:after="150"/>
        <w:jc w:val="both"/>
        <w:rPr>
          <w:rFonts w:ascii="Bookman Old Style" w:hAnsi="Bookman Old Style"/>
          <w:color w:val="2D2D2D"/>
        </w:rPr>
      </w:pPr>
      <w:r>
        <w:rPr>
          <w:rFonts w:ascii="Bookman Old Style" w:hAnsi="Bookman Old Style"/>
          <w:b/>
          <w:bCs/>
          <w:color w:val="2D2D2D"/>
        </w:rPr>
        <w:t>Odpowiedź:</w:t>
      </w:r>
    </w:p>
    <w:p>
      <w:pPr>
        <w:pStyle w:val="Standard"/>
        <w:jc w:val="both"/>
        <w:rPr>
          <w:rFonts w:ascii="Bookman Old Style" w:hAnsi="Bookman Old Style"/>
          <w:color w:val="2D2D2D"/>
        </w:rPr>
      </w:pPr>
      <w:r>
        <w:rPr>
          <w:rFonts w:ascii="Bookman Old Style" w:hAnsi="Bookman Old Style"/>
          <w:color w:val="2D2D2D"/>
        </w:rPr>
        <w:t>Na etapie podpisywania umowy nie ma podstaw zmiany poszczególnych terminów harmonogramu wykonania przedmiotu zamówienia. Możliwości zmiany terminu realizacji zadania zostały opisane w § 14 umowy oraz w załączniku nr 1 do umowy.</w:t>
      </w:r>
    </w:p>
    <w:p>
      <w:pPr>
        <w:pStyle w:val="Standard"/>
        <w:spacing w:lineRule="auto" w:line="336" w:before="0" w:after="150"/>
        <w:jc w:val="both"/>
        <w:rPr>
          <w:rFonts w:ascii="Bookman Old Style" w:hAnsi="Bookman Old Style"/>
          <w:b/>
          <w:b/>
          <w:bCs/>
          <w:color w:val="2D2D2D"/>
          <w:u w:val="single"/>
        </w:rPr>
      </w:pPr>
      <w:r>
        <w:rPr>
          <w:rFonts w:ascii="Bookman Old Style" w:hAnsi="Bookman Old Style"/>
          <w:b/>
          <w:bCs/>
          <w:color w:val="2D2D2D"/>
          <w:u w:val="single"/>
        </w:rPr>
      </w:r>
    </w:p>
    <w:p>
      <w:pPr>
        <w:pStyle w:val="Standard"/>
        <w:spacing w:lineRule="auto" w:line="336" w:before="0" w:after="150"/>
        <w:jc w:val="both"/>
        <w:rPr>
          <w:rFonts w:ascii="Bookman Old Style" w:hAnsi="Bookman Old Style"/>
          <w:b/>
          <w:b/>
          <w:bCs/>
          <w:color w:val="2D2D2D"/>
          <w:u w:val="single"/>
        </w:rPr>
      </w:pPr>
      <w:r>
        <w:rPr>
          <w:rFonts w:ascii="Bookman Old Style" w:hAnsi="Bookman Old Style"/>
          <w:b/>
          <w:bCs/>
          <w:color w:val="2D2D2D"/>
          <w:u w:val="single"/>
        </w:rPr>
        <w:t>Pytanie nr 3</w:t>
      </w:r>
    </w:p>
    <w:p>
      <w:pPr>
        <w:pStyle w:val="Standard"/>
        <w:spacing w:before="0" w:after="150"/>
        <w:jc w:val="both"/>
        <w:rPr>
          <w:rFonts w:ascii="Bookman Old Style" w:hAnsi="Bookman Old Style"/>
          <w:color w:val="2D2D2D"/>
        </w:rPr>
      </w:pPr>
      <w:r>
        <w:rPr>
          <w:rFonts w:ascii="Bookman Old Style" w:hAnsi="Bookman Old Style"/>
          <w:color w:val="2D2D2D"/>
        </w:rPr>
        <w:t xml:space="preserve">Proszę o informację czy w granicach opracowania </w:t>
      </w:r>
      <w:r>
        <w:rPr>
          <w:rStyle w:val="Wyrnienie"/>
        </w:rPr>
        <w:t xml:space="preserve">MPZP Jezierzany II </w:t>
      </w:r>
      <w:r>
        <w:rPr>
          <w:rFonts w:ascii="Bookman Old Style" w:hAnsi="Bookman Old Style"/>
          <w:color w:val="2D2D2D"/>
        </w:rPr>
        <w:t>występują grunty orne klas I - III lub grunty opisane w ewidencji jako las.</w:t>
      </w:r>
    </w:p>
    <w:p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Odpowiedź: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>
          <w:rFonts w:ascii="Bookman Old Style" w:hAnsi="Bookman Old Style"/>
          <w:color w:val="2D2D2D"/>
        </w:rPr>
      </w:pPr>
      <w:r>
        <w:rPr>
          <w:rFonts w:ascii="Bookman Old Style" w:hAnsi="Bookman Old Style"/>
          <w:color w:val="2D2D2D"/>
        </w:rPr>
        <w:t xml:space="preserve">W granicach opracowania </w:t>
      </w:r>
      <w:r>
        <w:rPr>
          <w:rFonts w:ascii="Bookman Old Style" w:hAnsi="Bookman Old Style"/>
          <w:i/>
          <w:color w:val="2D2D2D"/>
        </w:rPr>
        <w:t>MPZP Jezierzany II</w:t>
      </w:r>
      <w:r>
        <w:rPr>
          <w:rFonts w:ascii="Bookman Old Style" w:hAnsi="Bookman Old Style"/>
          <w:color w:val="2D2D2D"/>
        </w:rPr>
        <w:t xml:space="preserve"> nie występują grunty orne Klas I – III oraz grunty opisane w ewidencji jako las.</w:t>
      </w:r>
    </w:p>
    <w:p>
      <w:pPr>
        <w:pStyle w:val="Standard"/>
        <w:rPr>
          <w:rFonts w:ascii="Bookman Old Style" w:hAnsi="Bookman Old Style"/>
          <w:color w:val="2D2D2D"/>
        </w:rPr>
      </w:pPr>
      <w:r>
        <w:rPr>
          <w:rFonts w:ascii="Bookman Old Style" w:hAnsi="Bookman Old Style"/>
          <w:color w:val="2D2D2D"/>
        </w:rPr>
      </w:r>
    </w:p>
    <w:p>
      <w:pPr>
        <w:pStyle w:val="Textbody"/>
        <w:spacing w:lineRule="auto" w:line="336" w:before="0" w:after="150"/>
        <w:jc w:val="both"/>
        <w:rPr/>
      </w:pPr>
      <w:r>
        <w:rPr/>
      </w:r>
    </w:p>
    <w:sectPr>
      <w:type w:val="nextPage"/>
      <w:pgSz w:w="11906" w:h="16838"/>
      <w:pgMar w:left="725" w:right="1156" w:header="0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5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4">
    <w:name w:val="Heading 4"/>
    <w:basedOn w:val="Nagwek"/>
    <w:qFormat/>
    <w:pPr>
      <w:spacing w:before="120" w:after="120"/>
      <w:outlineLvl w:val="3"/>
    </w:pPr>
    <w:rPr>
      <w:rFonts w:ascii="Liberation Serif" w:hAnsi="Liberation Serif" w:eastAsia="SimSun" w:cs="Lucida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Internetlink" w:customStyle="1">
    <w:name w:val="Internet link"/>
    <w:qFormat/>
    <w:rPr>
      <w:color w:val="000080"/>
      <w:u w:val="single"/>
    </w:rPr>
  </w:style>
  <w:style w:type="paragraph" w:styleId="Nagwek" w:customStyle="1">
    <w:name w:val="Nagłówek"/>
    <w:next w:val="Tretekstu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2</Pages>
  <Words>393</Words>
  <Characters>2417</Characters>
  <CharactersWithSpaces>2793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2019-02-04T09:04:00Z</dcterms:created>
  <dc:creator>Tadeusz Dec</dc:creator>
  <dc:description/>
  <dc:language>pl-PL</dc:language>
  <cp:lastModifiedBy/>
  <cp:lastPrinted>2018-04-26T14:56:00Z</cp:lastPrinted>
  <dcterms:modified xsi:type="dcterms:W3CDTF">2019-02-04T10:09:06Z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